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/>
        <w:jc w:val="righ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</w:rPr>
        <w:t xml:space="preserve">Приложение №2 Перечень стоимости услуг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val="ru-RU"/>
        </w:rPr>
        <w:t xml:space="preserve">Перечень стоимости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val="ru-RU"/>
        </w:rPr>
        <w:t xml:space="preserve">Услуг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tbl>
      <w:tblPr>
        <w:tblW w:w="91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3353"/>
        <w:gridCol w:w="1701"/>
        <w:gridCol w:w="992"/>
        <w:gridCol w:w="1113"/>
        <w:gridCol w:w="1332"/>
      </w:tblGrid>
      <w:tr>
        <w:tblPrEx/>
        <w:trPr>
          <w:jc w:val="center"/>
          <w:trHeight w:val="708"/>
        </w:trPr>
        <w:tc>
          <w:tcPr>
            <w:tcW w:w="650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№ п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353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Код по ФККО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Кол-во, тонна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13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pPrChange w:id="0" w:author="storozhenko_gm" w:date="2026-02-20T03:30:07Z" oouserid="storozhenko_gm">
                <w:pPr>
                  <w:pStyle w:val="838"/>
                </w:pPr>
              </w:pPrChange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Цена за ед.без НДС, руб.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1332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pPrChange w:id="1" w:author="storozhenko_gm" w:date="2026-02-20T03:30:07Z" oouserid="storozhenko_gm">
                <w:pPr>
                  <w:pStyle w:val="838"/>
                </w:pPr>
              </w:pPrChange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Стоимость без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pStyle w:val="83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pPrChange w:id="2" w:author="storozhenko_gm" w:date="2026-02-20T03:30:07Z" oouserid="storozhenko_gm">
                <w:pPr>
                  <w:pStyle w:val="838"/>
                </w:pPr>
              </w:pPrChange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НДС, руб.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  <w:t xml:space="preserve">Отходы минеральных масел моторных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  <w:t xml:space="preserve">4 06 110 01 31 3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2,0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Отходы минеральных масел турбинных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4 06 170 01 31 3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2,0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Всплывшие нефтепродукты из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нефтеловушек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и аналогичных сооружений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4 06 350 01 31 3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4,0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Осадок механической очистки нефтесодержащих сточных вод, содержащий нефтепродукты в количестве 15% и более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7 23 102 01 39 3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70,0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Покрышки пневматических шин с металлическим кордом отработанные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9 21 130 02 50 4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0,5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Песок,загрязненный нефтью или нефтепродуктами(содержание нефти или нефтепродуктов 15% и более)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9 19 201 01 39 3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0,5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Обтирочный материал, загрязненный нефтью или нефтепродуктами (содержание нефти или нефтепродуктов 15 % и более)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9 19 204 01 60 3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1,5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Системный блок компьютера, утративший потребительские свойства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4 81 201 01 52 4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0,03</w:t>
              <w:br/>
              <w:t xml:space="preserve">(8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Принтеры, сканеры, многофункциональные устройства (МФУ), утратившие потребительски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е свойства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4 81 202 01 52 4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0,07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(7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Картриджи печатающих устройств с содержанием тонера менее 7 % отработанные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4 81 203 02 52 4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0,01 </w:t>
              <w:br/>
              <w:t xml:space="preserve">(10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Клавиатура, манипулятор «мышь» с соединительными проводами, утратившие потребительские свойства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4 81 204 01 52 4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0,004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(10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0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09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  <w:t xml:space="preserve">НДС 22%: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09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  <w:t xml:space="preserve">Всего с учетом НДС: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*В цену должны быть включены расходы за тару, погрузку и транспортирование отходов.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 Spacing"/>
    <w:basedOn w:val="832"/>
    <w:uiPriority w:val="1"/>
    <w:qFormat/>
    <w:pPr>
      <w:spacing w:after="0" w:line="240" w:lineRule="auto"/>
    </w:pPr>
  </w:style>
  <w:style w:type="paragraph" w:styleId="836">
    <w:name w:val="List Paragraph"/>
    <w:basedOn w:val="832"/>
    <w:uiPriority w:val="34"/>
    <w:qFormat/>
    <w:pPr>
      <w:contextualSpacing/>
      <w:ind w:left="720"/>
    </w:pPr>
  </w:style>
  <w:style w:type="character" w:styleId="837" w:default="1">
    <w:name w:val="Default Paragraph Font"/>
    <w:uiPriority w:val="1"/>
    <w:semiHidden/>
    <w:unhideWhenUsed/>
  </w:style>
  <w:style w:type="paragraph" w:styleId="838" w:customStyle="1">
    <w:name w:val="Обычный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borisova_ti</cp:lastModifiedBy>
  <cp:revision>4</cp:revision>
  <dcterms:modified xsi:type="dcterms:W3CDTF">2026-07-10T02:04:15Z</dcterms:modified>
</cp:coreProperties>
</file>